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830E" w14:textId="7B75D316" w:rsidR="00B279B0" w:rsidRPr="00B55B68" w:rsidRDefault="009879E0" w:rsidP="00B55B68">
      <w:pPr>
        <w:pStyle w:val="Title"/>
        <w:jc w:val="center"/>
        <w:rPr>
          <w:lang w:val="en-GB"/>
        </w:rPr>
      </w:pPr>
      <w:r w:rsidRPr="00B55B68">
        <w:rPr>
          <w:b/>
          <w:bCs/>
          <w:sz w:val="30"/>
          <w:szCs w:val="30"/>
          <w:lang w:val="en-GB"/>
        </w:rPr>
        <w:t>GENDER SENSITIZATION WORKSHOP</w:t>
      </w:r>
      <w:r w:rsidRPr="009879E0">
        <w:rPr>
          <w:sz w:val="30"/>
          <w:szCs w:val="30"/>
          <w:lang w:val="en-GB"/>
        </w:rPr>
        <w:br/>
      </w:r>
      <w:r w:rsidRPr="009879E0">
        <w:rPr>
          <w:sz w:val="24"/>
          <w:szCs w:val="24"/>
          <w:lang w:val="en-GB"/>
        </w:rPr>
        <w:t xml:space="preserve">Charting </w:t>
      </w:r>
      <w:r w:rsidR="00C62AD4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>he</w:t>
      </w:r>
      <w:r w:rsidR="00C62AD4">
        <w:rPr>
          <w:sz w:val="24"/>
          <w:szCs w:val="24"/>
          <w:lang w:val="en-GB"/>
        </w:rPr>
        <w:t xml:space="preserve"> W</w:t>
      </w:r>
      <w:r>
        <w:rPr>
          <w:sz w:val="24"/>
          <w:szCs w:val="24"/>
          <w:lang w:val="en-GB"/>
        </w:rPr>
        <w:t>ay</w:t>
      </w:r>
      <w:r w:rsidR="00C62AD4">
        <w:rPr>
          <w:sz w:val="24"/>
          <w:szCs w:val="24"/>
          <w:lang w:val="en-GB"/>
        </w:rPr>
        <w:t xml:space="preserve"> A</w:t>
      </w:r>
      <w:r>
        <w:rPr>
          <w:sz w:val="24"/>
          <w:szCs w:val="24"/>
          <w:lang w:val="en-GB"/>
        </w:rPr>
        <w:t>head</w:t>
      </w:r>
      <w:r w:rsidR="00C62AD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for</w:t>
      </w:r>
      <w:r w:rsidR="00C62AD4">
        <w:rPr>
          <w:sz w:val="24"/>
          <w:szCs w:val="24"/>
          <w:lang w:val="en-GB"/>
        </w:rPr>
        <w:t xml:space="preserve"> </w:t>
      </w:r>
      <w:r w:rsidR="00EF6E75">
        <w:rPr>
          <w:sz w:val="24"/>
          <w:szCs w:val="24"/>
          <w:lang w:val="en-GB"/>
        </w:rPr>
        <w:t>Police E</w:t>
      </w:r>
      <w:r>
        <w:rPr>
          <w:sz w:val="24"/>
          <w:szCs w:val="24"/>
          <w:lang w:val="en-GB"/>
        </w:rPr>
        <w:t xml:space="preserve">ngagement with Transgender </w:t>
      </w:r>
      <w:r w:rsidR="000A4CE1">
        <w:rPr>
          <w:sz w:val="24"/>
          <w:szCs w:val="24"/>
          <w:lang w:val="en-GB"/>
        </w:rPr>
        <w:t>Persons</w:t>
      </w:r>
    </w:p>
    <w:p w14:paraId="13FA8548" w14:textId="77777777" w:rsidR="00112CB4" w:rsidRPr="00B55B68" w:rsidRDefault="00112CB4" w:rsidP="00B55B68">
      <w:pPr>
        <w:pStyle w:val="Heading1"/>
        <w:rPr>
          <w:lang w:val="en-GB"/>
        </w:rPr>
      </w:pPr>
      <w:r w:rsidRPr="00B55B68">
        <w:rPr>
          <w:lang w:val="en-GB"/>
        </w:rPr>
        <w:t>OVERVIEW</w:t>
      </w:r>
    </w:p>
    <w:p w14:paraId="0CD7E2CB" w14:textId="77777777" w:rsidR="00662C43" w:rsidRPr="00C62AD4" w:rsidRDefault="005379BB" w:rsidP="00662C43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Transgender persons in Pakistan constitute one of the country’s most vulnerable and marginalized communities due to a multitude of inter-related socio-cultural, political, economic and legal hurdles. </w:t>
      </w:r>
      <w:r w:rsidR="00112CB4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The community which 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traditionally enjoyed an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br/>
        <w:t xml:space="preserve">esteemed status in the pre-colonial South Asian society suffered a gradual </w:t>
      </w:r>
      <w:r w:rsidR="00C74E80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decline in its socio-economic status during the British Raj which ostracized and criminalized transgenderism through the Criminal Tribes Act, 1871.</w:t>
      </w:r>
      <w:r w:rsidR="00662C43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Such </w:t>
      </w:r>
      <w:r w:rsidRPr="00C62AD4">
        <w:rPr>
          <w:rFonts w:ascii="Times New Roman" w:hAnsi="Times New Roman" w:cs="Times New Roman"/>
          <w:sz w:val="24"/>
          <w:szCs w:val="24"/>
        </w:rPr>
        <w:t xml:space="preserve">colonial-era </w:t>
      </w:r>
      <w:r w:rsidR="00662C43" w:rsidRPr="00C62AD4">
        <w:rPr>
          <w:rFonts w:ascii="Times New Roman" w:hAnsi="Times New Roman" w:cs="Times New Roman"/>
          <w:sz w:val="24"/>
          <w:szCs w:val="24"/>
        </w:rPr>
        <w:t xml:space="preserve">stereotypes and </w:t>
      </w:r>
      <w:r w:rsidRPr="00C62AD4">
        <w:rPr>
          <w:rFonts w:ascii="Times New Roman" w:hAnsi="Times New Roman" w:cs="Times New Roman"/>
          <w:sz w:val="24"/>
          <w:szCs w:val="24"/>
        </w:rPr>
        <w:t xml:space="preserve">misconceptions surrounding transgender persons </w:t>
      </w:r>
      <w:r w:rsidR="00662C43" w:rsidRPr="00C62AD4">
        <w:rPr>
          <w:rFonts w:ascii="Times New Roman" w:hAnsi="Times New Roman" w:cs="Times New Roman"/>
          <w:sz w:val="24"/>
          <w:szCs w:val="24"/>
        </w:rPr>
        <w:t xml:space="preserve">have </w:t>
      </w:r>
      <w:r w:rsidRPr="00C62AD4">
        <w:rPr>
          <w:rFonts w:ascii="Times New Roman" w:hAnsi="Times New Roman" w:cs="Times New Roman"/>
          <w:sz w:val="24"/>
          <w:szCs w:val="24"/>
        </w:rPr>
        <w:t>remain</w:t>
      </w:r>
      <w:r w:rsidR="00662C43" w:rsidRPr="00C62AD4">
        <w:rPr>
          <w:rFonts w:ascii="Times New Roman" w:hAnsi="Times New Roman" w:cs="Times New Roman"/>
          <w:sz w:val="24"/>
          <w:szCs w:val="24"/>
        </w:rPr>
        <w:t>ed</w:t>
      </w:r>
      <w:r w:rsidRPr="00C62AD4">
        <w:rPr>
          <w:rFonts w:ascii="Times New Roman" w:hAnsi="Times New Roman" w:cs="Times New Roman"/>
          <w:sz w:val="24"/>
          <w:szCs w:val="24"/>
        </w:rPr>
        <w:t xml:space="preserve"> embedded in </w:t>
      </w:r>
      <w:r w:rsidR="00662C43" w:rsidRPr="00C62AD4">
        <w:rPr>
          <w:rFonts w:ascii="Times New Roman" w:hAnsi="Times New Roman" w:cs="Times New Roman"/>
          <w:sz w:val="24"/>
          <w:szCs w:val="24"/>
        </w:rPr>
        <w:t xml:space="preserve">Pakistani society till date. </w:t>
      </w:r>
    </w:p>
    <w:p w14:paraId="51242BBC" w14:textId="77777777" w:rsidR="007B685F" w:rsidRPr="00C62AD4" w:rsidRDefault="00A45B5D" w:rsidP="00565288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GB"/>
        </w:rPr>
      </w:pP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Despite the constitutional guarantee of equal rights for all citizens of Pakistan without any discrimination on the basis of sex </w:t>
      </w:r>
      <w:r w:rsidRPr="00C62AD4">
        <w:rPr>
          <w:rStyle w:val="FootnoteReference"/>
          <w:rFonts w:ascii="Times New Roman" w:hAnsi="Times New Roman" w:cs="Times New Roman"/>
          <w:spacing w:val="2"/>
          <w:sz w:val="24"/>
          <w:szCs w:val="24"/>
          <w:lang w:val="en-GB"/>
        </w:rPr>
        <w:footnoteReference w:id="1"/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, t</w:t>
      </w:r>
      <w:r w:rsidRPr="00C6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daily experience of Pakistan’s transgender persons </w:t>
      </w:r>
      <w:r w:rsidR="00662C43" w:rsidRPr="00C62AD4">
        <w:rPr>
          <w:rFonts w:ascii="Times New Roman" w:hAnsi="Times New Roman" w:cs="Times New Roman"/>
          <w:color w:val="000000" w:themeColor="text1"/>
          <w:sz w:val="24"/>
          <w:szCs w:val="24"/>
        </w:rPr>
        <w:t>is marked by</w:t>
      </w:r>
      <w:r w:rsidRPr="00C6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marginalization, abuse, degradation, lack of opportunity, social opprobrium and most critically, all-pervasive violence.</w:t>
      </w:r>
      <w:r w:rsidR="00565288" w:rsidRPr="00C6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May 2018, the Government of Pakistan passed an unprecedented and historic legislation —</w:t>
      </w:r>
      <w:r w:rsidR="0056528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The</w:t>
      </w:r>
      <w:r w:rsidR="005D009F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Transgender Persons (Protection of Rights) Act, 2018</w:t>
      </w:r>
      <w:r w:rsidR="0056528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—with the aim of advancing and mainstreaming the constitutional rights of transgender persons. </w:t>
      </w:r>
      <w:r w:rsidR="006E03A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The legislation itself is wide ranging and encapsulates the right to identity, inheritance, health, education, employment</w:t>
      </w:r>
      <w:r w:rsidR="00013135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and</w:t>
      </w:r>
      <w:r w:rsidR="006E03A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access to public places</w:t>
      </w:r>
      <w:r w:rsidR="00013135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.</w:t>
      </w:r>
    </w:p>
    <w:p w14:paraId="73AEA8A8" w14:textId="77777777" w:rsidR="006E03A8" w:rsidRPr="00C62AD4" w:rsidRDefault="007B685F" w:rsidP="00565288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GB"/>
        </w:rPr>
      </w:pP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The </w:t>
      </w:r>
      <w:r w:rsidR="0056528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Federal 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Ministry of Human Rights</w:t>
      </w:r>
      <w:r w:rsid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(</w:t>
      </w:r>
      <w:r w:rsidR="003B6086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MoHR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)</w:t>
      </w:r>
      <w:r w:rsidR="0056528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, </w:t>
      </w:r>
      <w:r w:rsidR="00C62AD4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which was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a participant in</w:t>
      </w:r>
      <w:r w:rsidR="003B6086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t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he consultative process to bring</w:t>
      </w:r>
      <w:r w:rsidR="003B6086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about the </w:t>
      </w:r>
      <w:r w:rsidR="0056528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aforementioned Act, has been</w:t>
      </w:r>
      <w:r w:rsidR="003B6086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delegated the responsibility for </w:t>
      </w:r>
      <w:r w:rsidR="00C62AD4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its effective</w:t>
      </w:r>
      <w:r w:rsidR="003B6086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62AD4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implementation by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56528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the 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Parliament</w:t>
      </w:r>
      <w:r w:rsidR="003B6086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.</w:t>
      </w:r>
      <w:r w:rsidR="005D009F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To achieve</w:t>
      </w:r>
      <w:r w:rsidR="003B6086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this </w:t>
      </w:r>
      <w:r w:rsid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goal, MoHR</w:t>
      </w:r>
      <w:r w:rsidR="005D009F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has </w:t>
      </w:r>
      <w:r w:rsidR="003715B0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not only </w:t>
      </w:r>
      <w:r w:rsidR="005D009F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conducted </w:t>
      </w:r>
      <w:r w:rsidR="0056528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consultations and </w:t>
      </w:r>
      <w:r w:rsidR="00C62AD4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meetings with</w:t>
      </w:r>
      <w:r w:rsidR="005D009F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3B6086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t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ransgender rights activists and civil society organizations</w:t>
      </w:r>
      <w:r w:rsidR="003715B0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but has also</w:t>
      </w:r>
      <w:r w:rsidR="005D009F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established the National Implementation Committee</w:t>
      </w:r>
      <w:r w:rsidR="003B6086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on transgender persons which consists of a transgender focal person from each province</w:t>
      </w:r>
      <w:r w:rsidR="001F1604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. </w:t>
      </w:r>
      <w:r w:rsidR="003B6086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Furthermore, MoHR</w:t>
      </w:r>
      <w:r w:rsidR="007F37EF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has also appointed a Transgender Expert </w:t>
      </w:r>
      <w:r w:rsidR="003715B0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from the community itself, who serves as the </w:t>
      </w:r>
      <w:r w:rsidR="007F37EF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coordinator of the </w:t>
      </w:r>
      <w:r w:rsidR="007F37EF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lastRenderedPageBreak/>
        <w:t>said committee</w:t>
      </w:r>
      <w:r w:rsidR="007E373E">
        <w:rPr>
          <w:rFonts w:ascii="Times New Roman" w:hAnsi="Times New Roman" w:cs="Times New Roman"/>
          <w:spacing w:val="2"/>
          <w:sz w:val="24"/>
          <w:szCs w:val="24"/>
          <w:lang w:val="en-GB"/>
        </w:rPr>
        <w:t>. These initiatives taken by Mo</w:t>
      </w:r>
      <w:r w:rsidR="00A25CC4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HR are setting examples 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for others to follow in order </w:t>
      </w:r>
      <w:r w:rsidR="00C62AD4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to promote</w:t>
      </w:r>
      <w:r w:rsidR="003715B0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and mainstream transgender rights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.</w:t>
      </w:r>
    </w:p>
    <w:p w14:paraId="0E891B50" w14:textId="77777777" w:rsidR="00C62AD4" w:rsidRPr="00C62AD4" w:rsidRDefault="00751D45" w:rsidP="00C62AD4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GB"/>
        </w:rPr>
      </w:pP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In pursuance of its goals</w:t>
      </w:r>
      <w:r w:rsidR="007B685F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, </w:t>
      </w:r>
      <w:r w:rsidR="007E373E">
        <w:rPr>
          <w:rFonts w:ascii="Times New Roman" w:hAnsi="Times New Roman" w:cs="Times New Roman"/>
          <w:spacing w:val="2"/>
          <w:sz w:val="24"/>
          <w:szCs w:val="24"/>
          <w:lang w:val="en-GB"/>
        </w:rPr>
        <w:t>MoHR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7B685F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pl</w:t>
      </w:r>
      <w:r w:rsidR="003903A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ans to conduct a gender sensitization</w:t>
      </w:r>
      <w:r w:rsidR="007B685F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C62AD4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workshop in</w:t>
      </w:r>
      <w:r w:rsidR="00EB71B9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order to chart the way ahead for police engagement with transgender persons. 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In addition to </w:t>
      </w:r>
      <w:r w:rsidR="00C62AD4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providing a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historical backdrop to the current status of transgender persons in Pakistan, the workshop </w:t>
      </w:r>
      <w:r w:rsidR="007E373E">
        <w:rPr>
          <w:rFonts w:ascii="Times New Roman" w:hAnsi="Times New Roman" w:cs="Times New Roman"/>
          <w:spacing w:val="2"/>
          <w:sz w:val="24"/>
          <w:szCs w:val="24"/>
          <w:lang w:val="en-GB"/>
        </w:rPr>
        <w:t>shall aim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to: </w:t>
      </w:r>
    </w:p>
    <w:p w14:paraId="3CE97D4A" w14:textId="77777777" w:rsidR="00C62AD4" w:rsidRPr="00C62AD4" w:rsidRDefault="00C62AD4" w:rsidP="00C62AD4">
      <w:pPr>
        <w:pStyle w:val="ListParagraph"/>
        <w:numPr>
          <w:ilvl w:val="0"/>
          <w:numId w:val="6"/>
        </w:num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lang w:val="en-GB"/>
        </w:rPr>
      </w:pPr>
      <w:r w:rsidRPr="00C62AD4">
        <w:rPr>
          <w:rFonts w:ascii="Times New Roman" w:hAnsi="Times New Roman" w:cs="Times New Roman"/>
          <w:spacing w:val="2"/>
          <w:lang w:val="en-GB"/>
        </w:rPr>
        <w:t>Sensitize</w:t>
      </w:r>
      <w:r>
        <w:rPr>
          <w:rFonts w:ascii="Times New Roman" w:hAnsi="Times New Roman" w:cs="Times New Roman"/>
          <w:spacing w:val="2"/>
          <w:lang w:val="en-GB"/>
        </w:rPr>
        <w:t xml:space="preserve"> Law Enforcement A</w:t>
      </w:r>
      <w:r w:rsidRPr="00C62AD4">
        <w:rPr>
          <w:rFonts w:ascii="Times New Roman" w:hAnsi="Times New Roman" w:cs="Times New Roman"/>
          <w:spacing w:val="2"/>
          <w:lang w:val="en-GB"/>
        </w:rPr>
        <w:t>gencies</w:t>
      </w:r>
      <w:r>
        <w:rPr>
          <w:rFonts w:ascii="Times New Roman" w:hAnsi="Times New Roman" w:cs="Times New Roman"/>
          <w:spacing w:val="2"/>
          <w:lang w:val="en-GB"/>
        </w:rPr>
        <w:t xml:space="preserve"> (LEAs) on transgender </w:t>
      </w:r>
      <w:r w:rsidRPr="00C62AD4">
        <w:rPr>
          <w:rFonts w:ascii="Times New Roman" w:hAnsi="Times New Roman" w:cs="Times New Roman"/>
          <w:spacing w:val="2"/>
          <w:lang w:val="en-GB"/>
        </w:rPr>
        <w:t>i</w:t>
      </w:r>
      <w:r>
        <w:rPr>
          <w:rFonts w:ascii="Times New Roman" w:hAnsi="Times New Roman" w:cs="Times New Roman"/>
          <w:spacing w:val="2"/>
          <w:lang w:val="en-GB"/>
        </w:rPr>
        <w:t xml:space="preserve">ssues and unique </w:t>
      </w:r>
      <w:r w:rsidRPr="00C62AD4">
        <w:rPr>
          <w:rFonts w:ascii="Times New Roman" w:hAnsi="Times New Roman" w:cs="Times New Roman"/>
          <w:spacing w:val="2"/>
          <w:lang w:val="en-GB"/>
        </w:rPr>
        <w:t xml:space="preserve">challenges. </w:t>
      </w:r>
    </w:p>
    <w:p w14:paraId="647866AF" w14:textId="77777777" w:rsidR="00C62AD4" w:rsidRPr="00C62AD4" w:rsidRDefault="00C62AD4" w:rsidP="00C62AD4">
      <w:pPr>
        <w:pStyle w:val="ListParagraph"/>
        <w:numPr>
          <w:ilvl w:val="0"/>
          <w:numId w:val="6"/>
        </w:num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lang w:val="en-GB"/>
        </w:rPr>
      </w:pPr>
      <w:r>
        <w:rPr>
          <w:rFonts w:ascii="Times New Roman" w:hAnsi="Times New Roman" w:cs="Times New Roman"/>
          <w:spacing w:val="2"/>
          <w:lang w:val="en-GB"/>
        </w:rPr>
        <w:t>Improve</w:t>
      </w:r>
      <w:r w:rsidRPr="00C62AD4">
        <w:rPr>
          <w:rFonts w:ascii="Times New Roman" w:hAnsi="Times New Roman" w:cs="Times New Roman"/>
          <w:spacing w:val="2"/>
          <w:lang w:val="en-GB"/>
        </w:rPr>
        <w:t xml:space="preserve"> understanding of the Transgender Persons (Protection of Rights) Act, 2018, among the </w:t>
      </w:r>
      <w:r>
        <w:rPr>
          <w:rFonts w:ascii="Times New Roman" w:hAnsi="Times New Roman" w:cs="Times New Roman"/>
          <w:spacing w:val="2"/>
          <w:lang w:val="en-GB"/>
        </w:rPr>
        <w:t>LEAs</w:t>
      </w:r>
      <w:r w:rsidRPr="00C62AD4">
        <w:rPr>
          <w:rFonts w:ascii="Times New Roman" w:hAnsi="Times New Roman" w:cs="Times New Roman"/>
          <w:spacing w:val="2"/>
          <w:lang w:val="en-GB"/>
        </w:rPr>
        <w:t xml:space="preserve">. </w:t>
      </w:r>
    </w:p>
    <w:p w14:paraId="7A082981" w14:textId="77777777" w:rsidR="00C62AD4" w:rsidRPr="00C62AD4" w:rsidRDefault="00C62AD4" w:rsidP="00C62AD4">
      <w:pPr>
        <w:pStyle w:val="ListParagraph"/>
        <w:numPr>
          <w:ilvl w:val="0"/>
          <w:numId w:val="6"/>
        </w:num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lang w:val="en-GB"/>
        </w:rPr>
      </w:pPr>
      <w:r>
        <w:rPr>
          <w:rFonts w:ascii="Times New Roman" w:hAnsi="Times New Roman" w:cs="Times New Roman"/>
          <w:spacing w:val="2"/>
          <w:lang w:val="en-GB"/>
        </w:rPr>
        <w:t>Increase</w:t>
      </w:r>
      <w:r w:rsidRPr="00C62AD4">
        <w:rPr>
          <w:rFonts w:ascii="Times New Roman" w:hAnsi="Times New Roman" w:cs="Times New Roman"/>
          <w:spacing w:val="2"/>
          <w:lang w:val="en-GB"/>
        </w:rPr>
        <w:t xml:space="preserve"> trust in the </w:t>
      </w:r>
      <w:r>
        <w:rPr>
          <w:rFonts w:ascii="Times New Roman" w:hAnsi="Times New Roman" w:cs="Times New Roman"/>
          <w:spacing w:val="2"/>
          <w:lang w:val="en-GB"/>
        </w:rPr>
        <w:t xml:space="preserve">LEAs </w:t>
      </w:r>
      <w:r w:rsidRPr="00C62AD4">
        <w:rPr>
          <w:rFonts w:ascii="Times New Roman" w:hAnsi="Times New Roman" w:cs="Times New Roman"/>
          <w:spacing w:val="2"/>
          <w:lang w:val="en-GB"/>
        </w:rPr>
        <w:t>by the transgender community</w:t>
      </w:r>
      <w:r>
        <w:rPr>
          <w:rFonts w:ascii="Times New Roman" w:hAnsi="Times New Roman" w:cs="Times New Roman"/>
          <w:spacing w:val="2"/>
          <w:lang w:val="en-GB"/>
        </w:rPr>
        <w:t>.</w:t>
      </w:r>
    </w:p>
    <w:p w14:paraId="262D2337" w14:textId="77777777" w:rsidR="00C62AD4" w:rsidRPr="00C62AD4" w:rsidRDefault="00C62AD4" w:rsidP="00C62AD4">
      <w:pPr>
        <w:pStyle w:val="ListParagraph"/>
        <w:numPr>
          <w:ilvl w:val="0"/>
          <w:numId w:val="6"/>
        </w:num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lang w:val="en-GB"/>
        </w:rPr>
      </w:pPr>
      <w:r>
        <w:rPr>
          <w:rFonts w:ascii="Times New Roman" w:hAnsi="Times New Roman" w:cs="Times New Roman"/>
          <w:spacing w:val="2"/>
          <w:lang w:val="en-GB"/>
        </w:rPr>
        <w:t>Present</w:t>
      </w:r>
      <w:r w:rsidRPr="00C62AD4">
        <w:rPr>
          <w:rFonts w:ascii="Times New Roman" w:hAnsi="Times New Roman" w:cs="Times New Roman"/>
          <w:spacing w:val="2"/>
          <w:lang w:val="en-GB"/>
        </w:rPr>
        <w:t xml:space="preserve"> Draft Guidelines for Police Engagement with Transgender Citizens </w:t>
      </w:r>
      <w:r>
        <w:rPr>
          <w:rFonts w:ascii="Times New Roman" w:hAnsi="Times New Roman" w:cs="Times New Roman"/>
          <w:spacing w:val="2"/>
          <w:lang w:val="en-GB"/>
        </w:rPr>
        <w:t>and set</w:t>
      </w:r>
      <w:r w:rsidRPr="00C62AD4">
        <w:rPr>
          <w:rFonts w:ascii="Times New Roman" w:hAnsi="Times New Roman" w:cs="Times New Roman"/>
          <w:spacing w:val="2"/>
          <w:lang w:val="en-GB"/>
        </w:rPr>
        <w:t xml:space="preserve"> timelines for feedback and finalization of draft guidelines.</w:t>
      </w:r>
    </w:p>
    <w:p w14:paraId="2CACB772" w14:textId="77777777" w:rsidR="00C62AD4" w:rsidRPr="00C62AD4" w:rsidRDefault="00C62AD4" w:rsidP="00C62AD4">
      <w:pPr>
        <w:pStyle w:val="ListParagraph"/>
        <w:numPr>
          <w:ilvl w:val="0"/>
          <w:numId w:val="6"/>
        </w:num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lang w:val="en-GB"/>
        </w:rPr>
      </w:pPr>
      <w:r w:rsidRPr="00C62AD4">
        <w:rPr>
          <w:rFonts w:ascii="Times New Roman" w:hAnsi="Times New Roman" w:cs="Times New Roman"/>
          <w:spacing w:val="2"/>
          <w:lang w:val="en-GB"/>
        </w:rPr>
        <w:t>Organize awareness session</w:t>
      </w:r>
      <w:r w:rsidR="006E6E1E">
        <w:rPr>
          <w:rFonts w:ascii="Times New Roman" w:hAnsi="Times New Roman" w:cs="Times New Roman"/>
          <w:spacing w:val="2"/>
          <w:lang w:val="en-GB"/>
        </w:rPr>
        <w:t>s with t</w:t>
      </w:r>
      <w:r w:rsidRPr="00C62AD4">
        <w:rPr>
          <w:rFonts w:ascii="Times New Roman" w:hAnsi="Times New Roman" w:cs="Times New Roman"/>
          <w:spacing w:val="2"/>
          <w:lang w:val="en-GB"/>
        </w:rPr>
        <w:t>ransgender community on the new SOPs of police</w:t>
      </w:r>
      <w:r w:rsidR="006E6E1E">
        <w:rPr>
          <w:rFonts w:ascii="Times New Roman" w:hAnsi="Times New Roman" w:cs="Times New Roman"/>
          <w:spacing w:val="2"/>
          <w:lang w:val="en-GB"/>
        </w:rPr>
        <w:t>.</w:t>
      </w:r>
      <w:r w:rsidRPr="00C62AD4">
        <w:rPr>
          <w:rFonts w:ascii="Times New Roman" w:hAnsi="Times New Roman" w:cs="Times New Roman"/>
          <w:spacing w:val="2"/>
          <w:lang w:val="en-GB"/>
        </w:rPr>
        <w:t xml:space="preserve"> </w:t>
      </w:r>
    </w:p>
    <w:p w14:paraId="7906484F" w14:textId="77777777" w:rsidR="00C62AD4" w:rsidRPr="00C62AD4" w:rsidRDefault="006E6E1E" w:rsidP="00C62AD4">
      <w:pPr>
        <w:pStyle w:val="ListParagraph"/>
        <w:numPr>
          <w:ilvl w:val="0"/>
          <w:numId w:val="6"/>
        </w:num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lang w:val="en-GB"/>
        </w:rPr>
      </w:pPr>
      <w:r>
        <w:rPr>
          <w:rFonts w:ascii="Times New Roman" w:hAnsi="Times New Roman" w:cs="Times New Roman"/>
          <w:spacing w:val="2"/>
          <w:lang w:val="en-GB"/>
        </w:rPr>
        <w:t xml:space="preserve">Replicate </w:t>
      </w:r>
      <w:r w:rsidR="00C62AD4">
        <w:rPr>
          <w:rFonts w:ascii="Times New Roman" w:hAnsi="Times New Roman" w:cs="Times New Roman"/>
          <w:spacing w:val="2"/>
          <w:lang w:val="en-GB"/>
        </w:rPr>
        <w:t>this sensitization workshop</w:t>
      </w:r>
      <w:r w:rsidR="00C62AD4" w:rsidRPr="00C62AD4">
        <w:rPr>
          <w:rFonts w:ascii="Times New Roman" w:hAnsi="Times New Roman" w:cs="Times New Roman"/>
          <w:spacing w:val="2"/>
          <w:lang w:val="en-GB"/>
        </w:rPr>
        <w:t xml:space="preserve"> in</w:t>
      </w:r>
      <w:r w:rsidR="00C62AD4">
        <w:rPr>
          <w:rFonts w:ascii="Times New Roman" w:hAnsi="Times New Roman" w:cs="Times New Roman"/>
          <w:spacing w:val="2"/>
          <w:lang w:val="en-GB"/>
        </w:rPr>
        <w:t xml:space="preserve"> the</w:t>
      </w:r>
      <w:r w:rsidR="00C62AD4" w:rsidRPr="00C62AD4">
        <w:rPr>
          <w:rFonts w:ascii="Times New Roman" w:hAnsi="Times New Roman" w:cs="Times New Roman"/>
          <w:spacing w:val="2"/>
          <w:lang w:val="en-GB"/>
        </w:rPr>
        <w:t xml:space="preserve"> provinces</w:t>
      </w:r>
      <w:r>
        <w:rPr>
          <w:rFonts w:ascii="Times New Roman" w:hAnsi="Times New Roman" w:cs="Times New Roman"/>
          <w:spacing w:val="2"/>
          <w:lang w:val="en-GB"/>
        </w:rPr>
        <w:t>, spearheaded by MoHR</w:t>
      </w:r>
      <w:r w:rsidR="00C62AD4">
        <w:rPr>
          <w:rFonts w:ascii="Times New Roman" w:hAnsi="Times New Roman" w:cs="Times New Roman"/>
          <w:spacing w:val="2"/>
          <w:lang w:val="en-GB"/>
        </w:rPr>
        <w:t>.</w:t>
      </w:r>
      <w:r w:rsidR="00C62AD4" w:rsidRPr="00C62AD4">
        <w:rPr>
          <w:rFonts w:ascii="Times New Roman" w:hAnsi="Times New Roman" w:cs="Times New Roman"/>
          <w:spacing w:val="2"/>
          <w:lang w:val="en-GB"/>
        </w:rPr>
        <w:t xml:space="preserve"> </w:t>
      </w:r>
    </w:p>
    <w:p w14:paraId="0110EBE0" w14:textId="77777777" w:rsidR="003903A8" w:rsidRDefault="00C62AD4" w:rsidP="00C62AD4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2"/>
          <w:sz w:val="24"/>
          <w:szCs w:val="24"/>
          <w:lang w:val="en-GB"/>
        </w:rPr>
        <w:t>The workshop will</w:t>
      </w:r>
      <w:r w:rsidR="00642536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provide a platform for the </w:t>
      </w:r>
      <w:r w:rsidR="007E373E">
        <w:rPr>
          <w:rFonts w:ascii="Times New Roman" w:hAnsi="Times New Roman" w:cs="Times New Roman"/>
          <w:spacing w:val="2"/>
          <w:sz w:val="24"/>
          <w:szCs w:val="24"/>
          <w:lang w:val="en-GB"/>
        </w:rPr>
        <w:t>MoHR</w:t>
      </w:r>
      <w:r w:rsidR="00642536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to solicit feedback from representatives of </w:t>
      </w:r>
      <w:r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LEAs </w:t>
      </w:r>
      <w:r w:rsidR="00750D43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on Draft Guidelines </w:t>
      </w:r>
      <w:r w:rsidR="00E156D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for Police Engagement with Transgender Citizens</w:t>
      </w:r>
      <w:r>
        <w:rPr>
          <w:rFonts w:ascii="Times New Roman" w:hAnsi="Times New Roman" w:cs="Times New Roman"/>
          <w:spacing w:val="2"/>
          <w:sz w:val="24"/>
          <w:szCs w:val="24"/>
          <w:lang w:val="en-GB"/>
        </w:rPr>
        <w:t>.</w:t>
      </w:r>
      <w:r w:rsidR="00750D43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E156D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T</w:t>
      </w:r>
      <w:r w:rsidR="007B685F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he feedback shall </w:t>
      </w:r>
      <w:r w:rsidR="00E156D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then be </w:t>
      </w:r>
      <w:r w:rsidR="007B685F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incorporated </w:t>
      </w:r>
      <w:r w:rsidR="00E156D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and a revised draft will be</w:t>
      </w:r>
      <w:r w:rsidR="007B685F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presented to </w:t>
      </w:r>
      <w:r w:rsidR="00E156D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key </w:t>
      </w:r>
      <w:r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stakeholders at</w:t>
      </w:r>
      <w:r w:rsidR="00E156D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</w:t>
      </w:r>
      <w:r w:rsidR="007B685F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a consultation </w:t>
      </w:r>
      <w:r w:rsidR="00E156D8" w:rsidRPr="00C62AD4">
        <w:rPr>
          <w:rFonts w:ascii="Times New Roman" w:hAnsi="Times New Roman" w:cs="Times New Roman"/>
          <w:spacing w:val="2"/>
          <w:sz w:val="24"/>
          <w:szCs w:val="24"/>
          <w:lang w:val="en-GB"/>
        </w:rPr>
        <w:t>which will be held on a later date.</w:t>
      </w:r>
    </w:p>
    <w:p w14:paraId="01359685" w14:textId="77777777" w:rsidR="00C62AD4" w:rsidRDefault="00C62AD4" w:rsidP="00C62AD4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GB"/>
        </w:rPr>
      </w:pPr>
    </w:p>
    <w:p w14:paraId="7FDC0AE2" w14:textId="77777777" w:rsidR="00C62AD4" w:rsidRDefault="00C62AD4" w:rsidP="00C62AD4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GB"/>
        </w:rPr>
      </w:pPr>
    </w:p>
    <w:p w14:paraId="379A9000" w14:textId="77777777" w:rsidR="00C62AD4" w:rsidRDefault="00C62AD4" w:rsidP="00C62AD4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GB"/>
        </w:rPr>
      </w:pPr>
    </w:p>
    <w:p w14:paraId="3F931FF3" w14:textId="77777777" w:rsidR="00C62AD4" w:rsidRDefault="00C62AD4" w:rsidP="00C62AD4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GB"/>
        </w:rPr>
      </w:pPr>
    </w:p>
    <w:p w14:paraId="0A3D7FDA" w14:textId="77777777" w:rsidR="00C62AD4" w:rsidRDefault="00C62AD4" w:rsidP="00C62AD4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GB"/>
        </w:rPr>
      </w:pPr>
    </w:p>
    <w:p w14:paraId="745E881D" w14:textId="77777777" w:rsidR="00C62AD4" w:rsidRDefault="00C62AD4" w:rsidP="00C62AD4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GB"/>
        </w:rPr>
      </w:pPr>
    </w:p>
    <w:p w14:paraId="6998AA08" w14:textId="77777777" w:rsidR="00C62AD4" w:rsidRDefault="00C62AD4" w:rsidP="00C62AD4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en-GB"/>
        </w:rPr>
      </w:pPr>
    </w:p>
    <w:p w14:paraId="20BFEB85" w14:textId="77777777" w:rsidR="00C62AD4" w:rsidRPr="00C62AD4" w:rsidRDefault="00C62AD4" w:rsidP="00C62AD4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b/>
          <w:smallCaps/>
          <w:spacing w:val="2"/>
          <w:sz w:val="24"/>
          <w:szCs w:val="24"/>
          <w:lang w:val="en-GB"/>
        </w:rPr>
      </w:pPr>
    </w:p>
    <w:p w14:paraId="7DBB1565" w14:textId="77777777" w:rsidR="00B832B2" w:rsidRPr="00C62AD4" w:rsidRDefault="00112CB4" w:rsidP="00B55B68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r w:rsidRPr="00C62AD4">
        <w:rPr>
          <w:rFonts w:ascii="Times New Roman" w:hAnsi="Times New Roman" w:cs="Times New Roman"/>
          <w:sz w:val="24"/>
          <w:szCs w:val="24"/>
          <w:lang w:val="en-GB"/>
        </w:rPr>
        <w:t>METHODOLOGY</w:t>
      </w:r>
      <w:r w:rsidRPr="00C62AD4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0D30B9DB" w14:textId="77777777" w:rsidR="00DD1E3C" w:rsidRPr="00C62AD4" w:rsidRDefault="00DD1E3C" w:rsidP="00B55B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62AD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832B2" w:rsidRPr="00C62AD4">
        <w:rPr>
          <w:rFonts w:ascii="Times New Roman" w:hAnsi="Times New Roman" w:cs="Times New Roman"/>
          <w:sz w:val="24"/>
          <w:szCs w:val="24"/>
          <w:lang w:val="en-GB"/>
        </w:rPr>
        <w:t>Draft Guidelines for Police Engagement with Transgender Citizens</w:t>
      </w:r>
      <w:r w:rsidRPr="00C62AD4">
        <w:rPr>
          <w:rFonts w:ascii="Times New Roman" w:hAnsi="Times New Roman" w:cs="Times New Roman"/>
          <w:sz w:val="24"/>
          <w:szCs w:val="24"/>
          <w:lang w:val="en-GB"/>
        </w:rPr>
        <w:t xml:space="preserve"> aim to bridge the gap between international best practices and national </w:t>
      </w:r>
      <w:r w:rsidR="009565E5" w:rsidRPr="00C62AD4">
        <w:rPr>
          <w:rFonts w:ascii="Times New Roman" w:hAnsi="Times New Roman" w:cs="Times New Roman"/>
          <w:sz w:val="24"/>
          <w:szCs w:val="24"/>
          <w:lang w:val="en-GB"/>
        </w:rPr>
        <w:t>realities</w:t>
      </w:r>
      <w:r w:rsidRPr="00C62AD4">
        <w:rPr>
          <w:rFonts w:ascii="Times New Roman" w:hAnsi="Times New Roman" w:cs="Times New Roman"/>
          <w:sz w:val="24"/>
          <w:szCs w:val="24"/>
          <w:lang w:val="en-GB"/>
        </w:rPr>
        <w:t xml:space="preserve"> through measures that are not only implementable and practical but also relevant to the Pakistan’s legal context. In addition to a rigorous legal review and analysis of national legislative framework, an extensive desk review</w:t>
      </w:r>
      <w:r w:rsidR="009879E0" w:rsidRPr="00C62AD4">
        <w:rPr>
          <w:rFonts w:ascii="Times New Roman" w:hAnsi="Times New Roman" w:cs="Times New Roman"/>
          <w:sz w:val="24"/>
          <w:szCs w:val="24"/>
          <w:lang w:val="en-GB"/>
        </w:rPr>
        <w:t xml:space="preserve"> was undertaken which covered </w:t>
      </w:r>
      <w:r w:rsidRPr="00C62AD4">
        <w:rPr>
          <w:rFonts w:ascii="Times New Roman" w:hAnsi="Times New Roman" w:cs="Times New Roman"/>
          <w:sz w:val="24"/>
          <w:szCs w:val="24"/>
          <w:lang w:val="en-GB"/>
        </w:rPr>
        <w:t>international human rights best practices,</w:t>
      </w:r>
      <w:r w:rsidR="009565E5" w:rsidRPr="00C62AD4">
        <w:rPr>
          <w:rFonts w:ascii="Times New Roman" w:hAnsi="Times New Roman" w:cs="Times New Roman"/>
          <w:sz w:val="24"/>
          <w:szCs w:val="24"/>
          <w:lang w:val="en-GB"/>
        </w:rPr>
        <w:t xml:space="preserve"> relevant policy documents,</w:t>
      </w:r>
      <w:r w:rsidRPr="00C62AD4">
        <w:rPr>
          <w:rFonts w:ascii="Times New Roman" w:hAnsi="Times New Roman" w:cs="Times New Roman"/>
          <w:sz w:val="24"/>
          <w:szCs w:val="24"/>
          <w:lang w:val="en-GB"/>
        </w:rPr>
        <w:t xml:space="preserve"> academic research articles,</w:t>
      </w:r>
      <w:r w:rsidR="009565E5" w:rsidRPr="00C62AD4">
        <w:rPr>
          <w:rFonts w:ascii="Times New Roman" w:hAnsi="Times New Roman" w:cs="Times New Roman"/>
          <w:sz w:val="24"/>
          <w:szCs w:val="24"/>
          <w:lang w:val="en-GB"/>
        </w:rPr>
        <w:t xml:space="preserve"> and the latest directives developed by law enforcement agencies in the United States. Some of the most prominent sources include: </w:t>
      </w:r>
    </w:p>
    <w:p w14:paraId="2156CB45" w14:textId="77777777" w:rsidR="00DD1E3C" w:rsidRPr="00C62AD4" w:rsidRDefault="00DD1E3C" w:rsidP="00B27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t>The Constitution of the Islamic Republic of Pakistan, 1973.</w:t>
      </w:r>
      <w:r w:rsidRPr="00C62AD4">
        <w:rPr>
          <w:rFonts w:ascii="Times New Roman" w:hAnsi="Times New Roman" w:cs="Times New Roman"/>
          <w:lang w:val="en-GB"/>
        </w:rPr>
        <w:br/>
      </w:r>
    </w:p>
    <w:p w14:paraId="19C0DF33" w14:textId="77777777" w:rsidR="00B279B0" w:rsidRPr="00C62AD4" w:rsidRDefault="00DD1E3C" w:rsidP="00DD1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t>Transgender Persons (Protection of Rights) Act, 2018.</w:t>
      </w:r>
      <w:r w:rsidR="00B279B0" w:rsidRPr="00C62AD4">
        <w:rPr>
          <w:rFonts w:ascii="Times New Roman" w:hAnsi="Times New Roman" w:cs="Times New Roman"/>
          <w:lang w:val="en-GB"/>
        </w:rPr>
        <w:br/>
      </w:r>
    </w:p>
    <w:p w14:paraId="173F65CC" w14:textId="77777777" w:rsidR="00B279B0" w:rsidRPr="00C62AD4" w:rsidRDefault="00B279B0" w:rsidP="00B27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t>Dr. Mohammad Aslam Khaki &amp; another vs Senior Superintendent Rawalpindi &amp; another (CP. 43 of 2009) (23.12.2009).</w:t>
      </w:r>
      <w:r w:rsidRPr="00C62AD4">
        <w:rPr>
          <w:rFonts w:ascii="Times New Roman" w:hAnsi="Times New Roman" w:cs="Times New Roman"/>
          <w:lang w:val="en-GB"/>
        </w:rPr>
        <w:br/>
      </w:r>
    </w:p>
    <w:p w14:paraId="7630F469" w14:textId="77777777" w:rsidR="00B279B0" w:rsidRPr="00C62AD4" w:rsidRDefault="00B279B0" w:rsidP="00B27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t>Punjab Social Protection Authority, Transgender Persons Welfare Policy, 2018.</w:t>
      </w:r>
      <w:r w:rsidRPr="00C62AD4">
        <w:rPr>
          <w:rFonts w:ascii="Times New Roman" w:hAnsi="Times New Roman" w:cs="Times New Roman"/>
          <w:lang w:val="en-GB"/>
        </w:rPr>
        <w:br/>
      </w:r>
    </w:p>
    <w:p w14:paraId="4F1D4DEA" w14:textId="77777777" w:rsidR="00B279B0" w:rsidRPr="00C62AD4" w:rsidRDefault="00B279B0" w:rsidP="00B27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t xml:space="preserve">International Commission of </w:t>
      </w:r>
      <w:r w:rsidR="00C62AD4" w:rsidRPr="00C62AD4">
        <w:rPr>
          <w:rFonts w:ascii="Times New Roman" w:hAnsi="Times New Roman" w:cs="Times New Roman"/>
          <w:lang w:val="en-GB"/>
        </w:rPr>
        <w:t>Jurists, “</w:t>
      </w:r>
      <w:r w:rsidRPr="00C62AD4">
        <w:rPr>
          <w:rFonts w:ascii="Times New Roman" w:hAnsi="Times New Roman" w:cs="Times New Roman"/>
          <w:lang w:val="en-GB"/>
        </w:rPr>
        <w:t xml:space="preserve">Yogyakarta Principles — Principles on the Application of International Law in Relation to </w:t>
      </w:r>
      <w:r w:rsidR="00C62AD4" w:rsidRPr="00C62AD4">
        <w:rPr>
          <w:rFonts w:ascii="Times New Roman" w:hAnsi="Times New Roman" w:cs="Times New Roman"/>
          <w:lang w:val="en-GB"/>
        </w:rPr>
        <w:t>issues of</w:t>
      </w:r>
      <w:r w:rsidR="006C0905" w:rsidRPr="00C62AD4">
        <w:rPr>
          <w:rFonts w:ascii="Times New Roman" w:hAnsi="Times New Roman" w:cs="Times New Roman"/>
          <w:lang w:val="en-GB"/>
        </w:rPr>
        <w:t xml:space="preserve"> </w:t>
      </w:r>
      <w:r w:rsidRPr="00C62AD4">
        <w:rPr>
          <w:rFonts w:ascii="Times New Roman" w:hAnsi="Times New Roman" w:cs="Times New Roman"/>
          <w:lang w:val="en-GB"/>
        </w:rPr>
        <w:t>Gender Identity,” (2007).</w:t>
      </w:r>
    </w:p>
    <w:p w14:paraId="3242E7E5" w14:textId="77777777" w:rsidR="0046771B" w:rsidRPr="00C62AD4" w:rsidRDefault="00B279B0" w:rsidP="009565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t xml:space="preserve">These principles address a broad range of human rights standards and their application to issues of gender identity. Each Principle is accompanied by detailed recommendations to states for addressing a number of key issues including stigmatization, discrimination and Gender-Based Violence. </w:t>
      </w:r>
      <w:r w:rsidRPr="00C62AD4">
        <w:rPr>
          <w:rFonts w:ascii="Times New Roman" w:hAnsi="Times New Roman" w:cs="Times New Roman"/>
          <w:lang w:val="en-GB"/>
        </w:rPr>
        <w:br/>
      </w:r>
    </w:p>
    <w:p w14:paraId="4BC70685" w14:textId="77777777" w:rsidR="003903A8" w:rsidRPr="00C62AD4" w:rsidRDefault="0046771B" w:rsidP="00F14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t>Redfern, Jan</w:t>
      </w:r>
      <w:r w:rsidR="00F14413" w:rsidRPr="00C62AD4">
        <w:rPr>
          <w:rFonts w:ascii="Times New Roman" w:hAnsi="Times New Roman" w:cs="Times New Roman"/>
          <w:lang w:val="en-GB"/>
        </w:rPr>
        <w:t>, “</w:t>
      </w:r>
      <w:r w:rsidR="003903A8" w:rsidRPr="00C62AD4">
        <w:rPr>
          <w:rFonts w:ascii="Times New Roman" w:hAnsi="Times New Roman" w:cs="Times New Roman"/>
          <w:lang w:val="en-GB"/>
        </w:rPr>
        <w:t>Best Practices to Improve Police Relations with Transgender Persons</w:t>
      </w:r>
      <w:r w:rsidR="00C62AD4" w:rsidRPr="00C62AD4">
        <w:rPr>
          <w:rFonts w:ascii="Times New Roman" w:hAnsi="Times New Roman" w:cs="Times New Roman"/>
          <w:lang w:val="en-GB"/>
        </w:rPr>
        <w:t>,” Journal</w:t>
      </w:r>
      <w:r w:rsidR="00F14413" w:rsidRPr="00C62AD4">
        <w:rPr>
          <w:rFonts w:ascii="Times New Roman" w:hAnsi="Times New Roman" w:cs="Times New Roman"/>
          <w:lang w:val="en-GB"/>
        </w:rPr>
        <w:t xml:space="preserve"> of Law Enforcement, </w:t>
      </w:r>
      <w:r w:rsidRPr="00C62AD4">
        <w:rPr>
          <w:rFonts w:ascii="Times New Roman" w:hAnsi="Times New Roman" w:cs="Times New Roman"/>
          <w:lang w:val="en-GB"/>
        </w:rPr>
        <w:t>2014</w:t>
      </w:r>
      <w:r w:rsidR="00B279B0" w:rsidRPr="00C62AD4">
        <w:rPr>
          <w:rFonts w:ascii="Times New Roman" w:hAnsi="Times New Roman" w:cs="Times New Roman"/>
          <w:lang w:val="en-GB"/>
        </w:rPr>
        <w:t>.</w:t>
      </w:r>
    </w:p>
    <w:p w14:paraId="2D51FD5A" w14:textId="77777777" w:rsidR="00F14413" w:rsidRPr="00C62AD4" w:rsidRDefault="003903A8" w:rsidP="00F14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t xml:space="preserve">This </w:t>
      </w:r>
      <w:r w:rsidR="00F14413" w:rsidRPr="00C62AD4">
        <w:rPr>
          <w:rFonts w:ascii="Times New Roman" w:hAnsi="Times New Roman" w:cs="Times New Roman"/>
          <w:lang w:val="en-GB"/>
        </w:rPr>
        <w:t xml:space="preserve">highly acclaimed </w:t>
      </w:r>
      <w:r w:rsidRPr="00C62AD4">
        <w:rPr>
          <w:rFonts w:ascii="Times New Roman" w:hAnsi="Times New Roman" w:cs="Times New Roman"/>
          <w:lang w:val="en-GB"/>
        </w:rPr>
        <w:t xml:space="preserve">academic article </w:t>
      </w:r>
      <w:r w:rsidR="00F14413" w:rsidRPr="00C62AD4">
        <w:rPr>
          <w:rFonts w:ascii="Times New Roman" w:hAnsi="Times New Roman" w:cs="Times New Roman"/>
          <w:lang w:val="en-GB"/>
        </w:rPr>
        <w:t xml:space="preserve">highlights </w:t>
      </w:r>
      <w:r w:rsidRPr="00C62AD4">
        <w:rPr>
          <w:rFonts w:ascii="Times New Roman" w:hAnsi="Times New Roman" w:cs="Times New Roman"/>
          <w:lang w:val="en-GB"/>
        </w:rPr>
        <w:t>the need for sensitizing police vis-à-vis protection of transgender persons.</w:t>
      </w:r>
      <w:r w:rsidR="00846A3B" w:rsidRPr="00C62AD4">
        <w:rPr>
          <w:rFonts w:ascii="Times New Roman" w:hAnsi="Times New Roman" w:cs="Times New Roman"/>
          <w:lang w:val="en-GB"/>
        </w:rPr>
        <w:br/>
      </w:r>
    </w:p>
    <w:p w14:paraId="3D7121CA" w14:textId="77777777" w:rsidR="00F14413" w:rsidRPr="00C62AD4" w:rsidRDefault="00F14413" w:rsidP="00F14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t xml:space="preserve">Hartford Police Department (CT/ USA), “Departmental Directive: </w:t>
      </w:r>
      <w:r w:rsidRPr="00C62AD4">
        <w:rPr>
          <w:rFonts w:ascii="Times New Roman" w:hAnsi="Times New Roman" w:cs="Times New Roman"/>
        </w:rPr>
        <w:t>Appropriate Treatment of Detained Transgender Individuals”</w:t>
      </w:r>
      <w:r w:rsidR="00B279B0" w:rsidRPr="00C62AD4">
        <w:rPr>
          <w:rFonts w:ascii="Times New Roman" w:hAnsi="Times New Roman" w:cs="Times New Roman"/>
        </w:rPr>
        <w:t>.</w:t>
      </w:r>
    </w:p>
    <w:p w14:paraId="382A0FC9" w14:textId="77777777" w:rsidR="00F14413" w:rsidRPr="00C62AD4" w:rsidRDefault="00846A3B" w:rsidP="00846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lastRenderedPageBreak/>
        <w:t>The directive lays</w:t>
      </w:r>
      <w:r w:rsidR="00F14413" w:rsidRPr="00C62AD4">
        <w:rPr>
          <w:rFonts w:ascii="Times New Roman" w:hAnsi="Times New Roman" w:cs="Times New Roman"/>
          <w:lang w:val="en-GB"/>
        </w:rPr>
        <w:t xml:space="preserve"> down the appropriate treatment of detained transgender individuals</w:t>
      </w:r>
      <w:r w:rsidRPr="00C62AD4">
        <w:rPr>
          <w:rFonts w:ascii="Times New Roman" w:hAnsi="Times New Roman" w:cs="Times New Roman"/>
          <w:lang w:val="en-GB"/>
        </w:rPr>
        <w:br/>
      </w:r>
    </w:p>
    <w:p w14:paraId="40AC5DD9" w14:textId="77777777" w:rsidR="00F14413" w:rsidRPr="00C62AD4" w:rsidRDefault="00F14413" w:rsidP="00846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t>Seattle Police Department Manual</w:t>
      </w:r>
      <w:r w:rsidR="00846A3B" w:rsidRPr="00C62AD4">
        <w:rPr>
          <w:rFonts w:ascii="Times New Roman" w:hAnsi="Times New Roman" w:cs="Times New Roman"/>
          <w:lang w:val="en-GB"/>
        </w:rPr>
        <w:t xml:space="preserve">, </w:t>
      </w:r>
      <w:r w:rsidRPr="00C62AD4">
        <w:rPr>
          <w:rFonts w:ascii="Times New Roman" w:hAnsi="Times New Roman" w:cs="Times New Roman"/>
          <w:lang w:val="en-GB"/>
        </w:rPr>
        <w:t xml:space="preserve">“Interaction with Transgender Individuals”, </w:t>
      </w:r>
      <w:r w:rsidR="00846A3B" w:rsidRPr="00C62AD4">
        <w:rPr>
          <w:rFonts w:ascii="Times New Roman" w:hAnsi="Times New Roman" w:cs="Times New Roman"/>
          <w:lang w:val="en-GB"/>
        </w:rPr>
        <w:t xml:space="preserve">with effect from: </w:t>
      </w:r>
      <w:r w:rsidRPr="00C62AD4">
        <w:rPr>
          <w:rFonts w:ascii="Times New Roman" w:hAnsi="Times New Roman" w:cs="Times New Roman"/>
          <w:lang w:val="en-GB"/>
        </w:rPr>
        <w:t>5 July 2019</w:t>
      </w:r>
      <w:r w:rsidR="00B279B0" w:rsidRPr="00C62AD4">
        <w:rPr>
          <w:rFonts w:ascii="Times New Roman" w:hAnsi="Times New Roman" w:cs="Times New Roman"/>
          <w:lang w:val="en-GB"/>
        </w:rPr>
        <w:t>.</w:t>
      </w:r>
    </w:p>
    <w:p w14:paraId="2F9920C7" w14:textId="77777777" w:rsidR="00F14413" w:rsidRPr="00C62AD4" w:rsidRDefault="00F14413" w:rsidP="00F14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t xml:space="preserve">This manual has a detailed section on how law enforcement </w:t>
      </w:r>
      <w:r w:rsidR="00846A3B" w:rsidRPr="00C62AD4">
        <w:rPr>
          <w:rFonts w:ascii="Times New Roman" w:hAnsi="Times New Roman" w:cs="Times New Roman"/>
          <w:lang w:val="en-GB"/>
        </w:rPr>
        <w:t xml:space="preserve">agencies </w:t>
      </w:r>
      <w:r w:rsidRPr="00C62AD4">
        <w:rPr>
          <w:rFonts w:ascii="Times New Roman" w:hAnsi="Times New Roman" w:cs="Times New Roman"/>
          <w:lang w:val="en-GB"/>
        </w:rPr>
        <w:t>ought to interact with transgender persons</w:t>
      </w:r>
      <w:r w:rsidR="00846A3B" w:rsidRPr="00C62AD4">
        <w:rPr>
          <w:rFonts w:ascii="Times New Roman" w:hAnsi="Times New Roman" w:cs="Times New Roman"/>
          <w:lang w:val="en-GB"/>
        </w:rPr>
        <w:br/>
      </w:r>
    </w:p>
    <w:p w14:paraId="208B4F0E" w14:textId="77777777" w:rsidR="00F14413" w:rsidRPr="00C62AD4" w:rsidRDefault="00846A3B" w:rsidP="00846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t xml:space="preserve">West Yorkshire Police Department, “Policy on Transgender People”. </w:t>
      </w:r>
    </w:p>
    <w:p w14:paraId="1B64A0FB" w14:textId="77777777" w:rsidR="00F14413" w:rsidRPr="00C62AD4" w:rsidRDefault="00846A3B" w:rsidP="00846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t xml:space="preserve">The policy </w:t>
      </w:r>
      <w:proofErr w:type="spellStart"/>
      <w:r w:rsidRPr="00C62AD4">
        <w:rPr>
          <w:rFonts w:ascii="Times New Roman" w:hAnsi="Times New Roman" w:cs="Times New Roman"/>
          <w:lang w:val="en-GB"/>
        </w:rPr>
        <w:t>setsstandards</w:t>
      </w:r>
      <w:proofErr w:type="spellEnd"/>
      <w:r w:rsidRPr="00C62AD4">
        <w:rPr>
          <w:rFonts w:ascii="Times New Roman" w:hAnsi="Times New Roman" w:cs="Times New Roman"/>
          <w:lang w:val="en-GB"/>
        </w:rPr>
        <w:t xml:space="preserve"> and guidelines with respect to the interaction between law enforcement agencies with transgender persons.</w:t>
      </w:r>
      <w:r w:rsidRPr="00C62AD4">
        <w:rPr>
          <w:rFonts w:ascii="Times New Roman" w:hAnsi="Times New Roman" w:cs="Times New Roman"/>
          <w:lang w:val="en-GB"/>
        </w:rPr>
        <w:br/>
      </w:r>
    </w:p>
    <w:p w14:paraId="7E808F4D" w14:textId="77777777" w:rsidR="000C6B8A" w:rsidRPr="00C62AD4" w:rsidRDefault="000C6B8A" w:rsidP="000C6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t>Standard Operating Procedures (</w:t>
      </w:r>
      <w:proofErr w:type="spellStart"/>
      <w:r w:rsidRPr="00C62AD4">
        <w:rPr>
          <w:rFonts w:ascii="Times New Roman" w:hAnsi="Times New Roman" w:cs="Times New Roman"/>
          <w:lang w:val="en-GB"/>
        </w:rPr>
        <w:t>SoPs</w:t>
      </w:r>
      <w:proofErr w:type="spellEnd"/>
      <w:r w:rsidRPr="00C62AD4">
        <w:rPr>
          <w:rFonts w:ascii="Times New Roman" w:hAnsi="Times New Roman" w:cs="Times New Roman"/>
          <w:lang w:val="en-GB"/>
        </w:rPr>
        <w:t xml:space="preserve">) for Islamabad Capital Territory (ICT) Police drafted by prominent transgender activist, </w:t>
      </w:r>
      <w:proofErr w:type="spellStart"/>
      <w:r w:rsidRPr="00C62AD4">
        <w:rPr>
          <w:rFonts w:ascii="Times New Roman" w:hAnsi="Times New Roman" w:cs="Times New Roman"/>
          <w:lang w:val="en-GB"/>
        </w:rPr>
        <w:t>Nayyab</w:t>
      </w:r>
      <w:proofErr w:type="spellEnd"/>
      <w:r w:rsidRPr="00C62AD4">
        <w:rPr>
          <w:rFonts w:ascii="Times New Roman" w:hAnsi="Times New Roman" w:cs="Times New Roman"/>
          <w:lang w:val="en-GB"/>
        </w:rPr>
        <w:t xml:space="preserve"> Ali. </w:t>
      </w:r>
    </w:p>
    <w:p w14:paraId="2506802D" w14:textId="77777777" w:rsidR="00846A3B" w:rsidRPr="00C62AD4" w:rsidRDefault="000C6B8A" w:rsidP="00B55B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t xml:space="preserve">The purpose of these </w:t>
      </w:r>
      <w:proofErr w:type="spellStart"/>
      <w:r w:rsidRPr="00C62AD4">
        <w:rPr>
          <w:rFonts w:ascii="Times New Roman" w:hAnsi="Times New Roman" w:cs="Times New Roman"/>
          <w:lang w:val="en-GB"/>
        </w:rPr>
        <w:t>SoPs</w:t>
      </w:r>
      <w:proofErr w:type="spellEnd"/>
      <w:r w:rsidRPr="00C62AD4">
        <w:rPr>
          <w:rFonts w:ascii="Times New Roman" w:hAnsi="Times New Roman" w:cs="Times New Roman"/>
          <w:lang w:val="en-GB"/>
        </w:rPr>
        <w:t xml:space="preserve"> is to establish guidelines and expectations for ICT Police response for services with the transgender community and gender non-conforming Persons. The </w:t>
      </w:r>
      <w:proofErr w:type="spellStart"/>
      <w:r w:rsidRPr="00C62AD4">
        <w:rPr>
          <w:rFonts w:ascii="Times New Roman" w:hAnsi="Times New Roman" w:cs="Times New Roman"/>
          <w:lang w:val="en-GB"/>
        </w:rPr>
        <w:t>SoPs</w:t>
      </w:r>
      <w:proofErr w:type="spellEnd"/>
      <w:r w:rsidRPr="00C62AD4">
        <w:rPr>
          <w:rFonts w:ascii="Times New Roman" w:hAnsi="Times New Roman" w:cs="Times New Roman"/>
          <w:lang w:val="en-GB"/>
        </w:rPr>
        <w:t xml:space="preserve"> supports the ICT Police’s Vision of Equality, Diversity and Dignit</w:t>
      </w:r>
      <w:r w:rsidR="00846A3B" w:rsidRPr="00C62AD4">
        <w:rPr>
          <w:rFonts w:ascii="Times New Roman" w:hAnsi="Times New Roman" w:cs="Times New Roman"/>
          <w:lang w:val="en-GB"/>
        </w:rPr>
        <w:t>y.</w:t>
      </w:r>
      <w:r w:rsidR="00846A3B" w:rsidRPr="00C62AD4">
        <w:rPr>
          <w:rFonts w:ascii="Times New Roman" w:hAnsi="Times New Roman" w:cs="Times New Roman"/>
          <w:lang w:val="en-GB"/>
        </w:rPr>
        <w:br/>
      </w:r>
    </w:p>
    <w:p w14:paraId="056FF3ED" w14:textId="77777777" w:rsidR="00846A3B" w:rsidRPr="00C62AD4" w:rsidRDefault="00846A3B" w:rsidP="00B55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C62AD4">
        <w:rPr>
          <w:rFonts w:ascii="Times New Roman" w:hAnsi="Times New Roman" w:cs="Times New Roman"/>
          <w:lang w:val="en-GB"/>
        </w:rPr>
        <w:t>Additionally, the team conducted an analysis of a training manual on transgender persons intended for the National Commission for Human Rights Pakistan (NCHR).</w:t>
      </w:r>
    </w:p>
    <w:p w14:paraId="32ED79B4" w14:textId="77777777" w:rsidR="0044364E" w:rsidRPr="00C62AD4" w:rsidRDefault="0044364E" w:rsidP="00846A3B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44364E" w:rsidRPr="00C62AD4" w:rsidSect="00443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CF804" w14:textId="77777777" w:rsidR="00A4102F" w:rsidRDefault="00A4102F" w:rsidP="00A45B5D">
      <w:pPr>
        <w:spacing w:after="0" w:line="240" w:lineRule="auto"/>
      </w:pPr>
      <w:r>
        <w:separator/>
      </w:r>
    </w:p>
  </w:endnote>
  <w:endnote w:type="continuationSeparator" w:id="0">
    <w:p w14:paraId="5B4FBFC4" w14:textId="77777777" w:rsidR="00A4102F" w:rsidRDefault="00A4102F" w:rsidP="00A4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CF8C" w14:textId="77777777" w:rsidR="00F26BF4" w:rsidRDefault="00F26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5704" w14:textId="77777777" w:rsidR="00F26BF4" w:rsidRDefault="00F26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162A" w14:textId="77777777" w:rsidR="00F26BF4" w:rsidRDefault="00F26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F11F" w14:textId="77777777" w:rsidR="00A4102F" w:rsidRDefault="00A4102F" w:rsidP="00A45B5D">
      <w:pPr>
        <w:spacing w:after="0" w:line="240" w:lineRule="auto"/>
      </w:pPr>
      <w:r>
        <w:separator/>
      </w:r>
    </w:p>
  </w:footnote>
  <w:footnote w:type="continuationSeparator" w:id="0">
    <w:p w14:paraId="4681B5F2" w14:textId="77777777" w:rsidR="00A4102F" w:rsidRDefault="00A4102F" w:rsidP="00A45B5D">
      <w:pPr>
        <w:spacing w:after="0" w:line="240" w:lineRule="auto"/>
      </w:pPr>
      <w:r>
        <w:continuationSeparator/>
      </w:r>
    </w:p>
  </w:footnote>
  <w:footnote w:id="1">
    <w:p w14:paraId="24C2A6F4" w14:textId="77777777" w:rsidR="00A45B5D" w:rsidRPr="007E373E" w:rsidRDefault="00A45B5D">
      <w:pPr>
        <w:pStyle w:val="FootnoteText"/>
        <w:rPr>
          <w:rFonts w:ascii="Times New Roman" w:hAnsi="Times New Roman" w:cs="Times New Roman"/>
        </w:rPr>
      </w:pPr>
      <w:r w:rsidRPr="007E373E">
        <w:rPr>
          <w:rStyle w:val="FootnoteReference"/>
          <w:rFonts w:ascii="Times New Roman" w:hAnsi="Times New Roman" w:cs="Times New Roman"/>
        </w:rPr>
        <w:footnoteRef/>
      </w:r>
      <w:r w:rsidRPr="007E373E">
        <w:rPr>
          <w:rFonts w:ascii="Times New Roman" w:hAnsi="Times New Roman" w:cs="Times New Roman"/>
        </w:rPr>
        <w:t xml:space="preserve"> Article 25, The Constitution of the Islamic Republic of Pakistan, 1973.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A8B82" w14:textId="77777777" w:rsidR="00F26BF4" w:rsidRDefault="00F26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3004" w14:textId="43DE2C81" w:rsidR="00F26BF4" w:rsidRDefault="00F26BF4">
    <w:pPr>
      <w:pStyle w:val="Header"/>
    </w:pPr>
    <w:r>
      <w:rPr>
        <w:noProof/>
      </w:rPr>
      <w:drawing>
        <wp:inline distT="0" distB="0" distL="0" distR="0" wp14:anchorId="472EFE96" wp14:editId="17FE8FCB">
          <wp:extent cx="1017905" cy="798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64EAECF0" wp14:editId="6242A8A1">
          <wp:extent cx="1213485" cy="90233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</w:t>
    </w:r>
    <w:bookmarkStart w:id="0" w:name="_GoBack"/>
    <w:r>
      <w:rPr>
        <w:noProof/>
      </w:rPr>
      <w:drawing>
        <wp:inline distT="0" distB="0" distL="0" distR="0" wp14:anchorId="661E8B81" wp14:editId="1D32375B">
          <wp:extent cx="871855" cy="65214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FC75" w14:textId="77777777" w:rsidR="00F26BF4" w:rsidRDefault="00F26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2B5"/>
    <w:multiLevelType w:val="hybridMultilevel"/>
    <w:tmpl w:val="DAC8C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E0E9C"/>
    <w:multiLevelType w:val="hybridMultilevel"/>
    <w:tmpl w:val="3E96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F34D9"/>
    <w:multiLevelType w:val="hybridMultilevel"/>
    <w:tmpl w:val="675A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C45A2"/>
    <w:multiLevelType w:val="hybridMultilevel"/>
    <w:tmpl w:val="374C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A0776"/>
    <w:multiLevelType w:val="hybridMultilevel"/>
    <w:tmpl w:val="F362AE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4531A3"/>
    <w:multiLevelType w:val="hybridMultilevel"/>
    <w:tmpl w:val="C8D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FC"/>
    <w:rsid w:val="000002DA"/>
    <w:rsid w:val="00013135"/>
    <w:rsid w:val="00071F4B"/>
    <w:rsid w:val="000A3C04"/>
    <w:rsid w:val="000A4CE1"/>
    <w:rsid w:val="000C6B8A"/>
    <w:rsid w:val="000F1C62"/>
    <w:rsid w:val="00112CB4"/>
    <w:rsid w:val="0012702E"/>
    <w:rsid w:val="001F1604"/>
    <w:rsid w:val="00206605"/>
    <w:rsid w:val="00216A1D"/>
    <w:rsid w:val="0025107C"/>
    <w:rsid w:val="00281770"/>
    <w:rsid w:val="002D297A"/>
    <w:rsid w:val="0031364B"/>
    <w:rsid w:val="003715B0"/>
    <w:rsid w:val="00374FDE"/>
    <w:rsid w:val="003903A8"/>
    <w:rsid w:val="003B6086"/>
    <w:rsid w:val="003E25C9"/>
    <w:rsid w:val="00417BC5"/>
    <w:rsid w:val="0044364E"/>
    <w:rsid w:val="0046771B"/>
    <w:rsid w:val="00470285"/>
    <w:rsid w:val="004A7FF2"/>
    <w:rsid w:val="004D42C3"/>
    <w:rsid w:val="005379BB"/>
    <w:rsid w:val="00565288"/>
    <w:rsid w:val="005710F0"/>
    <w:rsid w:val="005D009F"/>
    <w:rsid w:val="005D69AB"/>
    <w:rsid w:val="00642536"/>
    <w:rsid w:val="00662C43"/>
    <w:rsid w:val="006C0905"/>
    <w:rsid w:val="006E03A8"/>
    <w:rsid w:val="006E6E1E"/>
    <w:rsid w:val="006E7333"/>
    <w:rsid w:val="006F177F"/>
    <w:rsid w:val="00750D43"/>
    <w:rsid w:val="00751D45"/>
    <w:rsid w:val="007B0373"/>
    <w:rsid w:val="007B685F"/>
    <w:rsid w:val="007E373E"/>
    <w:rsid w:val="007F37EF"/>
    <w:rsid w:val="007F6483"/>
    <w:rsid w:val="00810B0E"/>
    <w:rsid w:val="00846A3B"/>
    <w:rsid w:val="00863B75"/>
    <w:rsid w:val="009253D1"/>
    <w:rsid w:val="009565E5"/>
    <w:rsid w:val="00971B02"/>
    <w:rsid w:val="009879E0"/>
    <w:rsid w:val="00A25CC4"/>
    <w:rsid w:val="00A4102F"/>
    <w:rsid w:val="00A45B5D"/>
    <w:rsid w:val="00A6647C"/>
    <w:rsid w:val="00AB0506"/>
    <w:rsid w:val="00AE2EBD"/>
    <w:rsid w:val="00B279B0"/>
    <w:rsid w:val="00B55B68"/>
    <w:rsid w:val="00B832B2"/>
    <w:rsid w:val="00BB7E32"/>
    <w:rsid w:val="00C070FC"/>
    <w:rsid w:val="00C62AD4"/>
    <w:rsid w:val="00C74E80"/>
    <w:rsid w:val="00CA7AAA"/>
    <w:rsid w:val="00CD6B45"/>
    <w:rsid w:val="00CE7216"/>
    <w:rsid w:val="00CF7A31"/>
    <w:rsid w:val="00D64532"/>
    <w:rsid w:val="00D95FF9"/>
    <w:rsid w:val="00DA2701"/>
    <w:rsid w:val="00DD1E3C"/>
    <w:rsid w:val="00DF7959"/>
    <w:rsid w:val="00E156D8"/>
    <w:rsid w:val="00E66551"/>
    <w:rsid w:val="00E9379E"/>
    <w:rsid w:val="00EB71B9"/>
    <w:rsid w:val="00EF6E75"/>
    <w:rsid w:val="00F14413"/>
    <w:rsid w:val="00F26BF4"/>
    <w:rsid w:val="00FD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C0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F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2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A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5B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2C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2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A45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5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5B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6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BF4"/>
  </w:style>
  <w:style w:type="paragraph" w:styleId="Footer">
    <w:name w:val="footer"/>
    <w:basedOn w:val="Normal"/>
    <w:link w:val="FooterChar"/>
    <w:uiPriority w:val="99"/>
    <w:unhideWhenUsed/>
    <w:rsid w:val="00F26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24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7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6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7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0FB4-AAA4-48F5-844F-28378721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Farrah Taufiq</cp:lastModifiedBy>
  <cp:revision>6</cp:revision>
  <dcterms:created xsi:type="dcterms:W3CDTF">2019-07-23T11:48:00Z</dcterms:created>
  <dcterms:modified xsi:type="dcterms:W3CDTF">2019-10-07T10:45:00Z</dcterms:modified>
</cp:coreProperties>
</file>